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1741" w14:textId="0DC29FFF" w:rsidR="006C171D" w:rsidRPr="00F56235" w:rsidRDefault="006C171D" w:rsidP="00F56235">
      <w:pPr>
        <w:pStyle w:val="Nzev"/>
        <w:jc w:val="center"/>
        <w:rPr>
          <w:rFonts w:ascii="Arial Narrow" w:hAnsi="Arial Narrow"/>
        </w:rPr>
      </w:pPr>
      <w:r w:rsidRPr="00F56235">
        <w:rPr>
          <w:rFonts w:ascii="Arial Narrow" w:hAnsi="Arial Narrow"/>
        </w:rPr>
        <w:t>PŘIHLAŠOVACÍ FORMULÁŘ NA MAPOVÝ PORTÁL</w:t>
      </w:r>
      <w:r w:rsidR="002D44D0">
        <w:rPr>
          <w:rFonts w:ascii="Arial Narrow" w:hAnsi="Arial Narrow"/>
        </w:rPr>
        <w:t xml:space="preserve"> PVS</w:t>
      </w:r>
    </w:p>
    <w:p w14:paraId="0D1FD8D5" w14:textId="41D26267" w:rsidR="007B22D4" w:rsidRPr="00F56235" w:rsidRDefault="006C171D" w:rsidP="002D44D0">
      <w:pPr>
        <w:spacing w:before="60" w:after="60"/>
      </w:pPr>
      <w:r w:rsidRPr="00F56235">
        <w:t xml:space="preserve">Pražská vodohospodářská společnost a.s. </w:t>
      </w:r>
      <w:r w:rsidRPr="00F56235">
        <w:rPr>
          <w:rStyle w:val="Zdraznnjemn"/>
        </w:rPr>
        <w:t>(dále jen „PVS“)</w:t>
      </w:r>
      <w:r w:rsidRPr="00F56235">
        <w:t xml:space="preserve"> </w:t>
      </w:r>
      <w:r w:rsidR="00F56235" w:rsidRPr="00C50D96">
        <w:rPr>
          <w:b/>
          <w:bCs/>
        </w:rPr>
        <w:t>umožňuje</w:t>
      </w:r>
      <w:r w:rsidRPr="00C50D96">
        <w:rPr>
          <w:b/>
          <w:bCs/>
        </w:rPr>
        <w:t xml:space="preserve"> přístup k</w:t>
      </w:r>
      <w:r w:rsidR="00F56235" w:rsidRPr="00C50D96">
        <w:rPr>
          <w:b/>
          <w:bCs/>
        </w:rPr>
        <w:t>e</w:t>
      </w:r>
      <w:r w:rsidRPr="00C50D96">
        <w:rPr>
          <w:b/>
          <w:bCs/>
        </w:rPr>
        <w:t xml:space="preserve"> střednědobému a ročnímu plánu obnovy, rekonstrukce, modernizace a rozvoje vodohospodářského majetku</w:t>
      </w:r>
      <w:r w:rsidRPr="00F56235">
        <w:t xml:space="preserve"> v rozsahu zobrazení </w:t>
      </w:r>
      <w:r w:rsidR="004506EF">
        <w:t>městských</w:t>
      </w:r>
      <w:r w:rsidRPr="00F56235">
        <w:t xml:space="preserve"> obvodů s rozšířenými informacemi o plánovacím, povolovacím a realizačním procesu v podobě elektronických služeb s dálkovým přístupem </w:t>
      </w:r>
      <w:r w:rsidR="00F56235">
        <w:br/>
      </w:r>
      <w:r w:rsidRPr="00F56235">
        <w:rPr>
          <w:rStyle w:val="Zdraznnjemn"/>
        </w:rPr>
        <w:t>(dále jen „</w:t>
      </w:r>
      <w:r w:rsidR="00C50D96">
        <w:rPr>
          <w:rStyle w:val="Zdraznnjemn"/>
        </w:rPr>
        <w:t>A</w:t>
      </w:r>
      <w:r w:rsidRPr="00F56235">
        <w:rPr>
          <w:rStyle w:val="Zdraznnjemn"/>
        </w:rPr>
        <w:t xml:space="preserve">plikace“) </w:t>
      </w:r>
      <w:r w:rsidRPr="00F56235">
        <w:t xml:space="preserve">pro odbory Magistrátu hlavního města Prahy, městské části, příspěvkové organizace zřízené hlavním městem Prahou. </w:t>
      </w:r>
    </w:p>
    <w:p w14:paraId="2453E8D3" w14:textId="2D985432" w:rsidR="006C171D" w:rsidRDefault="006C171D" w:rsidP="002D44D0">
      <w:pPr>
        <w:spacing w:before="60" w:after="60"/>
      </w:pPr>
      <w:r w:rsidRPr="00F56235">
        <w:t xml:space="preserve">Poskytování dat a výstupů bude prostřednictvím elektronických služeb s dálkovým přístupem. Dálkový prohlížecí přístup je poskytován bezplatně. </w:t>
      </w:r>
      <w:r w:rsidR="00F56235">
        <w:t xml:space="preserve">Pro přístupy do </w:t>
      </w:r>
      <w:r w:rsidR="00C50D96">
        <w:t>A</w:t>
      </w:r>
      <w:r w:rsidR="00F56235">
        <w:t xml:space="preserve">plikace je nutné vyplnit tento </w:t>
      </w:r>
      <w:r w:rsidR="002D44D0">
        <w:t>P</w:t>
      </w:r>
      <w:r w:rsidR="00F56235">
        <w:t>řihlašovací formulář.</w:t>
      </w:r>
    </w:p>
    <w:p w14:paraId="45A35200" w14:textId="3C267D57" w:rsidR="002D44D0" w:rsidRPr="005526B0" w:rsidRDefault="002D44D0" w:rsidP="000068C4">
      <w:pPr>
        <w:pStyle w:val="Nadpis1"/>
      </w:pPr>
      <w:r w:rsidRPr="005526B0">
        <w:t>Žadatel</w:t>
      </w:r>
    </w:p>
    <w:tbl>
      <w:tblPr>
        <w:tblStyle w:val="Mkatabulky"/>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7224"/>
      </w:tblGrid>
      <w:tr w:rsidR="00F56235" w14:paraId="1B3E03E2" w14:textId="77777777" w:rsidTr="00C50D96">
        <w:tc>
          <w:tcPr>
            <w:tcW w:w="1838" w:type="dxa"/>
            <w:tcBorders>
              <w:top w:val="single" w:sz="4" w:space="0" w:color="7F7F7F" w:themeColor="text1" w:themeTint="80"/>
              <w:left w:val="single" w:sz="4" w:space="0" w:color="7F7F7F" w:themeColor="text1" w:themeTint="80"/>
              <w:bottom w:val="single" w:sz="4" w:space="0" w:color="FFFFFF" w:themeColor="background1"/>
            </w:tcBorders>
            <w:shd w:val="clear" w:color="auto" w:fill="7F7F7F" w:themeFill="text1" w:themeFillTint="80"/>
          </w:tcPr>
          <w:p w14:paraId="04EEFB20" w14:textId="529457F7" w:rsidR="00F56235" w:rsidRPr="00C50D96" w:rsidRDefault="00F56235" w:rsidP="00F56235">
            <w:pPr>
              <w:jc w:val="right"/>
              <w:rPr>
                <w:b/>
                <w:bCs/>
                <w:color w:val="FFFFFF" w:themeColor="background1"/>
              </w:rPr>
            </w:pPr>
            <w:r w:rsidRPr="00C50D96">
              <w:rPr>
                <w:b/>
                <w:bCs/>
                <w:color w:val="FFFFFF" w:themeColor="background1"/>
              </w:rPr>
              <w:t>Název organizace</w:t>
            </w:r>
          </w:p>
        </w:tc>
        <w:tc>
          <w:tcPr>
            <w:tcW w:w="7224" w:type="dxa"/>
            <w:tcBorders>
              <w:top w:val="single" w:sz="4" w:space="0" w:color="7F7F7F" w:themeColor="text1" w:themeTint="80"/>
              <w:right w:val="single" w:sz="4" w:space="0" w:color="7F7F7F" w:themeColor="text1" w:themeTint="80"/>
            </w:tcBorders>
          </w:tcPr>
          <w:p w14:paraId="5F24A0E9" w14:textId="118543AB" w:rsidR="00F56235" w:rsidRPr="00F56235" w:rsidRDefault="00F56235" w:rsidP="006C171D">
            <w:pPr>
              <w:rPr>
                <w:i/>
                <w:iCs/>
              </w:rPr>
            </w:pPr>
            <w:r w:rsidRPr="00F56235">
              <w:rPr>
                <w:i/>
                <w:iCs/>
              </w:rPr>
              <w:t>doplňte</w:t>
            </w:r>
          </w:p>
        </w:tc>
      </w:tr>
      <w:tr w:rsidR="00F56235" w14:paraId="40FED6FB" w14:textId="77777777" w:rsidTr="00C50D96">
        <w:tc>
          <w:tcPr>
            <w:tcW w:w="1838"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shd w:val="clear" w:color="auto" w:fill="7F7F7F" w:themeFill="text1" w:themeFillTint="80"/>
          </w:tcPr>
          <w:p w14:paraId="3527A488" w14:textId="06219D18" w:rsidR="00F56235" w:rsidRPr="00C50D96" w:rsidRDefault="00F56235" w:rsidP="00F56235">
            <w:pPr>
              <w:jc w:val="right"/>
              <w:rPr>
                <w:b/>
                <w:bCs/>
                <w:color w:val="FFFFFF" w:themeColor="background1"/>
              </w:rPr>
            </w:pPr>
            <w:r w:rsidRPr="00C50D96">
              <w:rPr>
                <w:b/>
                <w:bCs/>
                <w:color w:val="FFFFFF" w:themeColor="background1"/>
              </w:rPr>
              <w:t>sídlo</w:t>
            </w:r>
          </w:p>
        </w:tc>
        <w:tc>
          <w:tcPr>
            <w:tcW w:w="7224" w:type="dxa"/>
            <w:tcBorders>
              <w:left w:val="single" w:sz="4" w:space="0" w:color="7F7F7F" w:themeColor="text1" w:themeTint="80"/>
              <w:right w:val="single" w:sz="4" w:space="0" w:color="7F7F7F" w:themeColor="text1" w:themeTint="80"/>
            </w:tcBorders>
          </w:tcPr>
          <w:p w14:paraId="4CDFCE6C" w14:textId="5C564A20" w:rsidR="00F56235" w:rsidRDefault="00F56235" w:rsidP="006C171D">
            <w:r w:rsidRPr="00F56235">
              <w:rPr>
                <w:i/>
                <w:iCs/>
              </w:rPr>
              <w:t>doplňte</w:t>
            </w:r>
          </w:p>
        </w:tc>
      </w:tr>
      <w:tr w:rsidR="00F56235" w14:paraId="15E59913" w14:textId="77777777" w:rsidTr="00C50D96">
        <w:tc>
          <w:tcPr>
            <w:tcW w:w="1838" w:type="dxa"/>
            <w:tcBorders>
              <w:top w:val="single" w:sz="4" w:space="0" w:color="FFFFFF" w:themeColor="background1"/>
              <w:left w:val="single" w:sz="4" w:space="0" w:color="7F7F7F" w:themeColor="text1" w:themeTint="80"/>
              <w:bottom w:val="single" w:sz="4" w:space="0" w:color="7F7F7F" w:themeColor="text1" w:themeTint="80"/>
            </w:tcBorders>
            <w:shd w:val="clear" w:color="auto" w:fill="7F7F7F" w:themeFill="text1" w:themeFillTint="80"/>
          </w:tcPr>
          <w:p w14:paraId="0B8A3B8B" w14:textId="06748F93" w:rsidR="00F56235" w:rsidRPr="00C50D96" w:rsidRDefault="00F56235" w:rsidP="00F56235">
            <w:pPr>
              <w:jc w:val="right"/>
              <w:rPr>
                <w:b/>
                <w:bCs/>
                <w:color w:val="FFFFFF" w:themeColor="background1"/>
              </w:rPr>
            </w:pPr>
            <w:r w:rsidRPr="00C50D96">
              <w:rPr>
                <w:b/>
                <w:bCs/>
                <w:color w:val="FFFFFF" w:themeColor="background1"/>
              </w:rPr>
              <w:t>zastoupena</w:t>
            </w:r>
          </w:p>
        </w:tc>
        <w:tc>
          <w:tcPr>
            <w:tcW w:w="7224" w:type="dxa"/>
            <w:tcBorders>
              <w:bottom w:val="single" w:sz="4" w:space="0" w:color="7F7F7F" w:themeColor="text1" w:themeTint="80"/>
              <w:right w:val="single" w:sz="4" w:space="0" w:color="7F7F7F" w:themeColor="text1" w:themeTint="80"/>
            </w:tcBorders>
          </w:tcPr>
          <w:p w14:paraId="511B0D99" w14:textId="34EAA626" w:rsidR="00F56235" w:rsidRDefault="00F56235" w:rsidP="006C171D">
            <w:r w:rsidRPr="00F56235">
              <w:rPr>
                <w:i/>
                <w:iCs/>
              </w:rPr>
              <w:t>doplňte</w:t>
            </w:r>
          </w:p>
        </w:tc>
      </w:tr>
    </w:tbl>
    <w:p w14:paraId="637A9BFD" w14:textId="77777777" w:rsidR="006C171D" w:rsidRPr="00F56235" w:rsidRDefault="006C171D" w:rsidP="002D44D0">
      <w:pPr>
        <w:spacing w:after="0"/>
        <w:rPr>
          <w:rStyle w:val="Zdraznnjemn"/>
        </w:rPr>
      </w:pPr>
      <w:r w:rsidRPr="00F56235">
        <w:rPr>
          <w:rStyle w:val="Zdraznnjemn"/>
        </w:rPr>
        <w:t xml:space="preserve">(dále jako „žadatel“) </w:t>
      </w:r>
    </w:p>
    <w:p w14:paraId="71BF1585" w14:textId="09F9D963" w:rsidR="006C171D" w:rsidRPr="00F56235" w:rsidRDefault="006C171D" w:rsidP="00F56235">
      <w:pPr>
        <w:spacing w:before="120" w:after="120"/>
      </w:pPr>
      <w:r w:rsidRPr="00F56235">
        <w:t>Žádám o udělení přístupů do aplikace pro níže uvedené uživatele:</w:t>
      </w:r>
    </w:p>
    <w:p w14:paraId="4AA97CA3" w14:textId="70F081CB" w:rsidR="006C171D" w:rsidRPr="005526B0" w:rsidRDefault="006C171D" w:rsidP="000068C4">
      <w:pPr>
        <w:pStyle w:val="Nadpis1"/>
      </w:pPr>
      <w:r w:rsidRPr="002D44D0">
        <w:t xml:space="preserve">Soupis uživatelů s přístupy </w:t>
      </w:r>
    </w:p>
    <w:tbl>
      <w:tblPr>
        <w:tblW w:w="9062" w:type="dxa"/>
        <w:tblCellMar>
          <w:left w:w="0" w:type="dxa"/>
          <w:right w:w="0" w:type="dxa"/>
        </w:tblCellMar>
        <w:tblLook w:val="04A0" w:firstRow="1" w:lastRow="0" w:firstColumn="1" w:lastColumn="0" w:noHBand="0" w:noVBand="1"/>
      </w:tblPr>
      <w:tblGrid>
        <w:gridCol w:w="1780"/>
        <w:gridCol w:w="1780"/>
        <w:gridCol w:w="1392"/>
        <w:gridCol w:w="2126"/>
        <w:gridCol w:w="1984"/>
      </w:tblGrid>
      <w:tr w:rsidR="009268F8" w14:paraId="3B5AC037" w14:textId="77777777" w:rsidTr="009268F8">
        <w:trPr>
          <w:trHeight w:val="315"/>
        </w:trPr>
        <w:tc>
          <w:tcPr>
            <w:tcW w:w="1780" w:type="dxa"/>
            <w:tcBorders>
              <w:top w:val="single" w:sz="8" w:space="0" w:color="7F7F7F"/>
              <w:left w:val="single" w:sz="8" w:space="0" w:color="7F7F7F"/>
              <w:bottom w:val="single" w:sz="8" w:space="0" w:color="FFFFFF"/>
              <w:right w:val="single" w:sz="8" w:space="0" w:color="FFFFFF"/>
            </w:tcBorders>
            <w:shd w:val="clear" w:color="000000" w:fill="808080"/>
            <w:tcMar>
              <w:top w:w="15" w:type="dxa"/>
              <w:left w:w="15" w:type="dxa"/>
              <w:bottom w:w="0" w:type="dxa"/>
              <w:right w:w="15" w:type="dxa"/>
            </w:tcMar>
            <w:vAlign w:val="center"/>
            <w:hideMark/>
          </w:tcPr>
          <w:p w14:paraId="5439715C" w14:textId="77777777" w:rsidR="009268F8" w:rsidRDefault="009268F8">
            <w:pPr>
              <w:jc w:val="left"/>
              <w:rPr>
                <w:rFonts w:cs="Calibri"/>
                <w:b/>
                <w:bCs/>
                <w:color w:val="FFFFFF"/>
              </w:rPr>
            </w:pPr>
            <w:r>
              <w:rPr>
                <w:rFonts w:cs="Calibri"/>
                <w:b/>
                <w:bCs/>
                <w:color w:val="FFFFFF"/>
              </w:rPr>
              <w:t>Jméno</w:t>
            </w:r>
          </w:p>
        </w:tc>
        <w:tc>
          <w:tcPr>
            <w:tcW w:w="1780" w:type="dxa"/>
            <w:tcBorders>
              <w:top w:val="single" w:sz="8" w:space="0" w:color="7F7F7F"/>
              <w:left w:val="nil"/>
              <w:bottom w:val="single" w:sz="8" w:space="0" w:color="FFFFFF"/>
              <w:right w:val="single" w:sz="8" w:space="0" w:color="FFFFFF"/>
            </w:tcBorders>
            <w:shd w:val="clear" w:color="000000" w:fill="808080"/>
            <w:tcMar>
              <w:top w:w="15" w:type="dxa"/>
              <w:left w:w="15" w:type="dxa"/>
              <w:bottom w:w="0" w:type="dxa"/>
              <w:right w:w="15" w:type="dxa"/>
            </w:tcMar>
            <w:vAlign w:val="center"/>
            <w:hideMark/>
          </w:tcPr>
          <w:p w14:paraId="3ABEA612" w14:textId="77777777" w:rsidR="009268F8" w:rsidRDefault="009268F8">
            <w:pPr>
              <w:rPr>
                <w:rFonts w:cs="Calibri"/>
                <w:b/>
                <w:bCs/>
                <w:color w:val="FFFFFF"/>
              </w:rPr>
            </w:pPr>
            <w:r>
              <w:rPr>
                <w:rFonts w:cs="Calibri"/>
                <w:b/>
                <w:bCs/>
                <w:color w:val="FFFFFF"/>
              </w:rPr>
              <w:t>Příjmení</w:t>
            </w:r>
          </w:p>
        </w:tc>
        <w:tc>
          <w:tcPr>
            <w:tcW w:w="1392" w:type="dxa"/>
            <w:tcBorders>
              <w:top w:val="single" w:sz="8" w:space="0" w:color="7F7F7F"/>
              <w:left w:val="nil"/>
              <w:bottom w:val="single" w:sz="8" w:space="0" w:color="FFFFFF"/>
              <w:right w:val="single" w:sz="8" w:space="0" w:color="FFFFFF"/>
            </w:tcBorders>
            <w:shd w:val="clear" w:color="000000" w:fill="808080"/>
            <w:tcMar>
              <w:top w:w="15" w:type="dxa"/>
              <w:left w:w="15" w:type="dxa"/>
              <w:bottom w:w="0" w:type="dxa"/>
              <w:right w:w="15" w:type="dxa"/>
            </w:tcMar>
            <w:vAlign w:val="center"/>
            <w:hideMark/>
          </w:tcPr>
          <w:p w14:paraId="3EF5DD9A" w14:textId="77777777" w:rsidR="009268F8" w:rsidRDefault="009268F8">
            <w:pPr>
              <w:rPr>
                <w:rFonts w:cs="Calibri"/>
                <w:b/>
                <w:bCs/>
                <w:color w:val="FFFFFF"/>
              </w:rPr>
            </w:pPr>
            <w:r>
              <w:rPr>
                <w:rFonts w:cs="Calibri"/>
                <w:b/>
                <w:bCs/>
                <w:color w:val="FFFFFF"/>
              </w:rPr>
              <w:t>Agenda</w:t>
            </w:r>
          </w:p>
        </w:tc>
        <w:tc>
          <w:tcPr>
            <w:tcW w:w="2126" w:type="dxa"/>
            <w:tcBorders>
              <w:top w:val="single" w:sz="8" w:space="0" w:color="7F7F7F"/>
              <w:left w:val="nil"/>
              <w:bottom w:val="single" w:sz="8" w:space="0" w:color="FFFFFF"/>
              <w:right w:val="single" w:sz="8" w:space="0" w:color="FFFFFF"/>
            </w:tcBorders>
            <w:shd w:val="clear" w:color="000000" w:fill="808080"/>
            <w:tcMar>
              <w:top w:w="15" w:type="dxa"/>
              <w:left w:w="15" w:type="dxa"/>
              <w:bottom w:w="0" w:type="dxa"/>
              <w:right w:w="15" w:type="dxa"/>
            </w:tcMar>
            <w:vAlign w:val="center"/>
            <w:hideMark/>
          </w:tcPr>
          <w:p w14:paraId="79432759" w14:textId="77777777" w:rsidR="009268F8" w:rsidRDefault="009268F8">
            <w:pPr>
              <w:rPr>
                <w:rFonts w:cs="Calibri"/>
                <w:b/>
                <w:bCs/>
                <w:color w:val="FFFFFF"/>
              </w:rPr>
            </w:pPr>
            <w:r>
              <w:rPr>
                <w:rFonts w:cs="Calibri"/>
                <w:b/>
                <w:bCs/>
                <w:color w:val="FFFFFF"/>
              </w:rPr>
              <w:t>E-mail adresa</w:t>
            </w:r>
          </w:p>
        </w:tc>
        <w:tc>
          <w:tcPr>
            <w:tcW w:w="1984" w:type="dxa"/>
            <w:tcBorders>
              <w:top w:val="single" w:sz="8" w:space="0" w:color="7F7F7F"/>
              <w:left w:val="nil"/>
              <w:bottom w:val="single" w:sz="8" w:space="0" w:color="FFFFFF"/>
              <w:right w:val="single" w:sz="8" w:space="0" w:color="7F7F7F"/>
            </w:tcBorders>
            <w:shd w:val="clear" w:color="000000" w:fill="808080"/>
            <w:tcMar>
              <w:top w:w="15" w:type="dxa"/>
              <w:left w:w="15" w:type="dxa"/>
              <w:bottom w:w="0" w:type="dxa"/>
              <w:right w:w="15" w:type="dxa"/>
            </w:tcMar>
            <w:vAlign w:val="center"/>
            <w:hideMark/>
          </w:tcPr>
          <w:p w14:paraId="20496956" w14:textId="77777777" w:rsidR="009268F8" w:rsidRDefault="009268F8">
            <w:pPr>
              <w:rPr>
                <w:rFonts w:cs="Calibri"/>
                <w:b/>
                <w:bCs/>
                <w:color w:val="FFFFFF"/>
              </w:rPr>
            </w:pPr>
            <w:r>
              <w:rPr>
                <w:rFonts w:cs="Calibri"/>
                <w:b/>
                <w:bCs/>
                <w:color w:val="FFFFFF"/>
              </w:rPr>
              <w:t>Telefon</w:t>
            </w:r>
          </w:p>
        </w:tc>
      </w:tr>
      <w:tr w:rsidR="009268F8" w14:paraId="2FA9F4DF" w14:textId="77777777" w:rsidTr="009268F8">
        <w:trPr>
          <w:trHeight w:val="315"/>
        </w:trPr>
        <w:tc>
          <w:tcPr>
            <w:tcW w:w="0" w:type="auto"/>
            <w:tcBorders>
              <w:top w:val="nil"/>
              <w:left w:val="single" w:sz="8" w:space="0" w:color="7F7F7F"/>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238CCBC2" w14:textId="77777777" w:rsidR="009268F8" w:rsidRDefault="009268F8">
            <w:pPr>
              <w:rPr>
                <w:rFonts w:cs="Calibri"/>
                <w:i/>
                <w:iCs/>
                <w:color w:val="000000"/>
              </w:rPr>
            </w:pPr>
            <w:r>
              <w:rPr>
                <w:rFonts w:cs="Calibri"/>
                <w:i/>
                <w:iCs/>
                <w:color w:val="000000"/>
              </w:rPr>
              <w:t>doplňte</w:t>
            </w:r>
          </w:p>
        </w:tc>
        <w:tc>
          <w:tcPr>
            <w:tcW w:w="0" w:type="auto"/>
            <w:tcBorders>
              <w:top w:val="nil"/>
              <w:left w:val="nil"/>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6B7199C8" w14:textId="77777777" w:rsidR="009268F8" w:rsidRDefault="009268F8">
            <w:pPr>
              <w:rPr>
                <w:rFonts w:cs="Calibri"/>
                <w:i/>
                <w:iCs/>
                <w:color w:val="000000"/>
              </w:rPr>
            </w:pPr>
            <w:r>
              <w:rPr>
                <w:rFonts w:cs="Calibri"/>
                <w:i/>
                <w:iCs/>
                <w:color w:val="000000"/>
              </w:rPr>
              <w:t>doplňte</w:t>
            </w:r>
          </w:p>
        </w:tc>
        <w:tc>
          <w:tcPr>
            <w:tcW w:w="1392" w:type="dxa"/>
            <w:tcBorders>
              <w:top w:val="nil"/>
              <w:left w:val="nil"/>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0025725D" w14:textId="77777777" w:rsidR="009268F8" w:rsidRDefault="009268F8">
            <w:pPr>
              <w:rPr>
                <w:rFonts w:cs="Calibri"/>
                <w:i/>
                <w:iCs/>
                <w:color w:val="000000"/>
              </w:rPr>
            </w:pPr>
            <w:r>
              <w:rPr>
                <w:rFonts w:cs="Calibri"/>
                <w:i/>
                <w:iCs/>
                <w:color w:val="000000"/>
              </w:rPr>
              <w:t>doplňte</w:t>
            </w:r>
          </w:p>
        </w:tc>
        <w:tc>
          <w:tcPr>
            <w:tcW w:w="2126" w:type="dxa"/>
            <w:tcBorders>
              <w:top w:val="nil"/>
              <w:left w:val="nil"/>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37A1120F" w14:textId="77777777" w:rsidR="009268F8" w:rsidRDefault="009268F8">
            <w:pPr>
              <w:rPr>
                <w:rFonts w:cs="Calibri"/>
                <w:i/>
                <w:iCs/>
                <w:color w:val="000000"/>
              </w:rPr>
            </w:pPr>
            <w:r>
              <w:rPr>
                <w:rFonts w:cs="Calibri"/>
                <w:i/>
                <w:iCs/>
                <w:color w:val="000000"/>
              </w:rPr>
              <w:t>doplňte</w:t>
            </w:r>
          </w:p>
        </w:tc>
        <w:tc>
          <w:tcPr>
            <w:tcW w:w="1984" w:type="dxa"/>
            <w:tcBorders>
              <w:top w:val="nil"/>
              <w:left w:val="nil"/>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393E8CBD" w14:textId="77777777" w:rsidR="009268F8" w:rsidRDefault="009268F8">
            <w:pPr>
              <w:rPr>
                <w:rFonts w:cs="Calibri"/>
                <w:i/>
                <w:iCs/>
                <w:color w:val="000000"/>
              </w:rPr>
            </w:pPr>
            <w:r>
              <w:rPr>
                <w:rFonts w:cs="Calibri"/>
                <w:i/>
                <w:iCs/>
                <w:color w:val="000000"/>
              </w:rPr>
              <w:t>doplňte</w:t>
            </w:r>
          </w:p>
        </w:tc>
      </w:tr>
      <w:tr w:rsidR="009268F8" w14:paraId="6D993446" w14:textId="77777777" w:rsidTr="009268F8">
        <w:trPr>
          <w:trHeight w:val="315"/>
        </w:trPr>
        <w:tc>
          <w:tcPr>
            <w:tcW w:w="0" w:type="auto"/>
            <w:tcBorders>
              <w:top w:val="nil"/>
              <w:left w:val="single" w:sz="8" w:space="0" w:color="7F7F7F"/>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2623CA0F" w14:textId="77777777" w:rsidR="009268F8" w:rsidRDefault="009268F8">
            <w:pPr>
              <w:rPr>
                <w:rFonts w:cs="Calibri"/>
                <w:color w:val="000000"/>
              </w:rPr>
            </w:pPr>
            <w:r>
              <w:rPr>
                <w:rFonts w:cs="Calibri"/>
                <w:color w:val="000000"/>
              </w:rPr>
              <w:t> </w:t>
            </w:r>
          </w:p>
        </w:tc>
        <w:tc>
          <w:tcPr>
            <w:tcW w:w="0" w:type="auto"/>
            <w:tcBorders>
              <w:top w:val="nil"/>
              <w:left w:val="nil"/>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460B5A05" w14:textId="77777777" w:rsidR="009268F8" w:rsidRDefault="009268F8">
            <w:pPr>
              <w:rPr>
                <w:rFonts w:cs="Calibri"/>
                <w:color w:val="000000"/>
              </w:rPr>
            </w:pPr>
            <w:r>
              <w:rPr>
                <w:rFonts w:cs="Calibri"/>
                <w:color w:val="000000"/>
              </w:rPr>
              <w:t> </w:t>
            </w:r>
          </w:p>
        </w:tc>
        <w:tc>
          <w:tcPr>
            <w:tcW w:w="1392" w:type="dxa"/>
            <w:tcBorders>
              <w:top w:val="nil"/>
              <w:left w:val="nil"/>
              <w:bottom w:val="single" w:sz="8" w:space="0" w:color="7F7F7F"/>
              <w:right w:val="single" w:sz="8" w:space="0" w:color="7F7F7F"/>
            </w:tcBorders>
            <w:shd w:val="clear" w:color="auto" w:fill="auto"/>
            <w:tcMar>
              <w:top w:w="15" w:type="dxa"/>
              <w:left w:w="15" w:type="dxa"/>
              <w:bottom w:w="0" w:type="dxa"/>
              <w:right w:w="15" w:type="dxa"/>
            </w:tcMar>
            <w:vAlign w:val="center"/>
            <w:hideMark/>
          </w:tcPr>
          <w:p w14:paraId="3C8950FA" w14:textId="77777777" w:rsidR="009268F8" w:rsidRDefault="009268F8">
            <w:pPr>
              <w:rPr>
                <w:rFonts w:cs="Calibri"/>
                <w:color w:val="000000"/>
              </w:rPr>
            </w:pPr>
            <w:r>
              <w:rPr>
                <w:rFonts w:cs="Calibri"/>
                <w:color w:val="000000"/>
              </w:rPr>
              <w:t> </w:t>
            </w:r>
          </w:p>
        </w:tc>
        <w:tc>
          <w:tcPr>
            <w:tcW w:w="2126" w:type="dxa"/>
            <w:tcBorders>
              <w:top w:val="nil"/>
              <w:left w:val="nil"/>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7AF45485" w14:textId="77777777" w:rsidR="009268F8" w:rsidRDefault="009268F8">
            <w:pPr>
              <w:rPr>
                <w:rFonts w:cs="Calibri"/>
                <w:color w:val="000000"/>
              </w:rPr>
            </w:pPr>
            <w:r>
              <w:rPr>
                <w:rFonts w:cs="Calibri"/>
                <w:color w:val="000000"/>
              </w:rPr>
              <w:t> </w:t>
            </w:r>
          </w:p>
        </w:tc>
        <w:tc>
          <w:tcPr>
            <w:tcW w:w="1984" w:type="dxa"/>
            <w:tcBorders>
              <w:top w:val="nil"/>
              <w:left w:val="nil"/>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0A5B5A05" w14:textId="77777777" w:rsidR="009268F8" w:rsidRDefault="009268F8">
            <w:pPr>
              <w:rPr>
                <w:rFonts w:cs="Calibri"/>
                <w:color w:val="000000"/>
              </w:rPr>
            </w:pPr>
            <w:r>
              <w:rPr>
                <w:rFonts w:cs="Calibri"/>
                <w:color w:val="000000"/>
              </w:rPr>
              <w:t> </w:t>
            </w:r>
          </w:p>
        </w:tc>
      </w:tr>
      <w:tr w:rsidR="009268F8" w14:paraId="27864A12" w14:textId="77777777" w:rsidTr="009268F8">
        <w:trPr>
          <w:trHeight w:val="315"/>
        </w:trPr>
        <w:tc>
          <w:tcPr>
            <w:tcW w:w="0" w:type="auto"/>
            <w:tcBorders>
              <w:top w:val="nil"/>
              <w:left w:val="single" w:sz="8" w:space="0" w:color="7F7F7F"/>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2977660E" w14:textId="77777777" w:rsidR="009268F8" w:rsidRDefault="009268F8">
            <w:pPr>
              <w:rPr>
                <w:rFonts w:cs="Calibri"/>
                <w:color w:val="000000"/>
              </w:rPr>
            </w:pPr>
            <w:r>
              <w:rPr>
                <w:rFonts w:cs="Calibri"/>
                <w:color w:val="000000"/>
              </w:rPr>
              <w:t> </w:t>
            </w:r>
          </w:p>
        </w:tc>
        <w:tc>
          <w:tcPr>
            <w:tcW w:w="0" w:type="auto"/>
            <w:tcBorders>
              <w:top w:val="nil"/>
              <w:left w:val="nil"/>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6492EE0B" w14:textId="77777777" w:rsidR="009268F8" w:rsidRDefault="009268F8">
            <w:pPr>
              <w:rPr>
                <w:rFonts w:cs="Calibri"/>
                <w:color w:val="000000"/>
              </w:rPr>
            </w:pPr>
            <w:r>
              <w:rPr>
                <w:rFonts w:cs="Calibri"/>
                <w:color w:val="000000"/>
              </w:rPr>
              <w:t> </w:t>
            </w:r>
          </w:p>
        </w:tc>
        <w:tc>
          <w:tcPr>
            <w:tcW w:w="1392" w:type="dxa"/>
            <w:tcBorders>
              <w:top w:val="nil"/>
              <w:left w:val="nil"/>
              <w:bottom w:val="single" w:sz="8" w:space="0" w:color="7F7F7F"/>
              <w:right w:val="single" w:sz="8" w:space="0" w:color="7F7F7F"/>
            </w:tcBorders>
            <w:shd w:val="clear" w:color="auto" w:fill="auto"/>
            <w:tcMar>
              <w:top w:w="15" w:type="dxa"/>
              <w:left w:w="15" w:type="dxa"/>
              <w:bottom w:w="0" w:type="dxa"/>
              <w:right w:w="15" w:type="dxa"/>
            </w:tcMar>
            <w:vAlign w:val="center"/>
            <w:hideMark/>
          </w:tcPr>
          <w:p w14:paraId="73C2F65B" w14:textId="77777777" w:rsidR="009268F8" w:rsidRDefault="009268F8">
            <w:pPr>
              <w:rPr>
                <w:rFonts w:cs="Calibri"/>
                <w:color w:val="000000"/>
              </w:rPr>
            </w:pPr>
            <w:r>
              <w:rPr>
                <w:rFonts w:cs="Calibri"/>
                <w:color w:val="000000"/>
              </w:rPr>
              <w:t> </w:t>
            </w:r>
          </w:p>
        </w:tc>
        <w:tc>
          <w:tcPr>
            <w:tcW w:w="2126" w:type="dxa"/>
            <w:tcBorders>
              <w:top w:val="nil"/>
              <w:left w:val="nil"/>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19720383" w14:textId="77777777" w:rsidR="009268F8" w:rsidRDefault="009268F8">
            <w:pPr>
              <w:rPr>
                <w:rFonts w:cs="Calibri"/>
                <w:color w:val="000000"/>
              </w:rPr>
            </w:pPr>
            <w:r>
              <w:rPr>
                <w:rFonts w:cs="Calibri"/>
                <w:color w:val="000000"/>
              </w:rPr>
              <w:t> </w:t>
            </w:r>
          </w:p>
        </w:tc>
        <w:tc>
          <w:tcPr>
            <w:tcW w:w="1984" w:type="dxa"/>
            <w:tcBorders>
              <w:top w:val="nil"/>
              <w:left w:val="nil"/>
              <w:bottom w:val="single" w:sz="8" w:space="0" w:color="7F7F7F"/>
              <w:right w:val="single" w:sz="8" w:space="0" w:color="7F7F7F"/>
            </w:tcBorders>
            <w:shd w:val="clear" w:color="auto" w:fill="auto"/>
            <w:noWrap/>
            <w:tcMar>
              <w:top w:w="15" w:type="dxa"/>
              <w:left w:w="15" w:type="dxa"/>
              <w:bottom w:w="0" w:type="dxa"/>
              <w:right w:w="15" w:type="dxa"/>
            </w:tcMar>
            <w:vAlign w:val="center"/>
            <w:hideMark/>
          </w:tcPr>
          <w:p w14:paraId="45FD7535" w14:textId="77777777" w:rsidR="009268F8" w:rsidRDefault="009268F8">
            <w:pPr>
              <w:rPr>
                <w:rFonts w:cs="Calibri"/>
                <w:color w:val="000000"/>
              </w:rPr>
            </w:pPr>
            <w:r>
              <w:rPr>
                <w:rFonts w:cs="Calibri"/>
                <w:color w:val="000000"/>
              </w:rPr>
              <w:t> </w:t>
            </w:r>
          </w:p>
        </w:tc>
      </w:tr>
    </w:tbl>
    <w:p w14:paraId="62954143" w14:textId="65D469E1" w:rsidR="002D44D0" w:rsidRPr="002D44D0" w:rsidRDefault="009268F8" w:rsidP="002D44D0">
      <w:pPr>
        <w:spacing w:after="0"/>
        <w:rPr>
          <w:rStyle w:val="Zdraznnjemn"/>
        </w:rPr>
      </w:pPr>
      <w:r w:rsidRPr="00F56235">
        <w:rPr>
          <w:rStyle w:val="Zdraznnjemn"/>
        </w:rPr>
        <w:t xml:space="preserve"> </w:t>
      </w:r>
      <w:r w:rsidR="002D44D0" w:rsidRPr="00F56235">
        <w:rPr>
          <w:rStyle w:val="Zdraznnjemn"/>
        </w:rPr>
        <w:t>(dále jen „uživatel nebo uživatelé“)</w:t>
      </w:r>
    </w:p>
    <w:p w14:paraId="70E9E761" w14:textId="47E2CB12" w:rsidR="006C171D" w:rsidRPr="000068C4" w:rsidRDefault="00B13A8D" w:rsidP="000068C4">
      <w:pPr>
        <w:pStyle w:val="Nadpis1"/>
      </w:pPr>
      <w:r w:rsidRPr="000068C4">
        <w:t>Z</w:t>
      </w:r>
      <w:r w:rsidR="006C171D" w:rsidRPr="000068C4">
        <w:t>pracování osobních údajů</w:t>
      </w:r>
    </w:p>
    <w:p w14:paraId="585E60E2" w14:textId="27E7A2A7" w:rsidR="006C171D" w:rsidRPr="00C50D96" w:rsidRDefault="006C171D" w:rsidP="004D1971">
      <w:pPr>
        <w:spacing w:before="60" w:after="60"/>
      </w:pPr>
      <w:r w:rsidRPr="00C50D96">
        <w:t xml:space="preserve">Pro úspěšné využívání aplikace, které tato webová stránka Portál PVS nabízí, v některých případech potřebuje PVS zpracovávat osobní údaje uživatelů.   </w:t>
      </w:r>
    </w:p>
    <w:p w14:paraId="37B7A6A1" w14:textId="77777777" w:rsidR="006C171D" w:rsidRPr="00C50D96" w:rsidRDefault="006C171D" w:rsidP="004D1971">
      <w:pPr>
        <w:spacing w:before="60" w:after="60"/>
      </w:pPr>
      <w:r w:rsidRPr="00C50D96">
        <w:t>Toto zpracovávání podléhá nařízení Evropského parlamentu a Rady 2016/679 ze dne 27. dubna 2016, o ochraně fyzických osob v souvislosti se zpracováním osobních údajů a o volném pohybu těchto údajů a o zrušení směrnice 95/46/ES (obecné nařízení o ochraně osobních údajů), známé také jako "GDPR".</w:t>
      </w:r>
    </w:p>
    <w:p w14:paraId="1B8030E1" w14:textId="77777777" w:rsidR="006C171D" w:rsidRPr="000068C4" w:rsidRDefault="006C171D" w:rsidP="000068C4">
      <w:pPr>
        <w:pStyle w:val="Nadpis2"/>
      </w:pPr>
      <w:r w:rsidRPr="000068C4">
        <w:t>Služby využívající osobní údaje</w:t>
      </w:r>
    </w:p>
    <w:p w14:paraId="1FDFD8AB" w14:textId="77777777" w:rsidR="006C171D" w:rsidRPr="00C50D96" w:rsidRDefault="006C171D" w:rsidP="00C50D96">
      <w:pPr>
        <w:spacing w:before="60" w:after="60"/>
      </w:pPr>
      <w:r w:rsidRPr="00C50D96">
        <w:t>Uvedené osobní údaje zpracovává PVS pouze pro účely zde popsané. Osobní (ani žádné jiné) údaje nezpracovává pro potřeby cíleného nabízení zboží nebo služeb. Osobní údaje neprodává ani neposkytuje třetím stranám. Souhlas je považován za platný do jeho odvolání.</w:t>
      </w:r>
    </w:p>
    <w:p w14:paraId="6987E30C" w14:textId="77777777" w:rsidR="006C171D" w:rsidRPr="000068C4" w:rsidRDefault="006C171D" w:rsidP="000068C4">
      <w:pPr>
        <w:pStyle w:val="Nadpis2"/>
      </w:pPr>
      <w:r w:rsidRPr="000068C4">
        <w:t>Webové formuláře</w:t>
      </w:r>
    </w:p>
    <w:p w14:paraId="2B01D4C8" w14:textId="3C93FA3E" w:rsidR="006C171D" w:rsidRPr="00C50D96" w:rsidRDefault="006C171D" w:rsidP="00C50D96">
      <w:pPr>
        <w:spacing w:before="60" w:after="60"/>
      </w:pPr>
      <w:r w:rsidRPr="00C50D96">
        <w:t>Při odesílání webových formulářů na této webové stránce ukládá PVS e-mailovou adresu jako kontaktní údaj pro odpovědi. Tento údaj PVS neuvádí veřejně.</w:t>
      </w:r>
      <w:r w:rsidR="00C50D96">
        <w:t xml:space="preserve"> </w:t>
      </w:r>
      <w:r w:rsidRPr="00C50D96">
        <w:t>Webové formuláře pro úspěšné odeslání a fungování Portálu PVS požadují další osobní údaje, které jsou uvedené v tabulce výše. V takových případech tyto údaje PVS zpracovává pouze pro potřeby vyhodnocení formuláře a neuvádí je veřejně.</w:t>
      </w:r>
    </w:p>
    <w:p w14:paraId="004CCD0F" w14:textId="77777777" w:rsidR="006C171D" w:rsidRPr="000068C4" w:rsidRDefault="006C171D" w:rsidP="000068C4">
      <w:pPr>
        <w:pStyle w:val="Nadpis2"/>
      </w:pPr>
      <w:r w:rsidRPr="000068C4">
        <w:t>Odvolání souhlasu</w:t>
      </w:r>
    </w:p>
    <w:p w14:paraId="1D63681B" w14:textId="2B8C9781" w:rsidR="006C171D" w:rsidRPr="00C50D96" w:rsidRDefault="006C171D" w:rsidP="00C50D96">
      <w:pPr>
        <w:spacing w:before="60" w:after="60"/>
      </w:pPr>
      <w:r w:rsidRPr="00C50D96">
        <w:t xml:space="preserve">V případě, že bude žadatel požadovat odvolat souhlas se zpracováním osobních údajů, nutno kontaktovat koordinátora GDPR na adrese </w:t>
      </w:r>
      <w:hyperlink r:id="rId7" w:history="1">
        <w:r w:rsidRPr="00C50D96">
          <w:rPr>
            <w:rStyle w:val="Zdraznnjemn"/>
            <w:color w:val="2F5496"/>
            <w:u w:val="single"/>
          </w:rPr>
          <w:t>emanuelovam@pvs.cz</w:t>
        </w:r>
      </w:hyperlink>
      <w:r w:rsidRPr="00C50D96">
        <w:t xml:space="preserve"> </w:t>
      </w:r>
    </w:p>
    <w:p w14:paraId="7E5E38EA" w14:textId="4DABEAC5" w:rsidR="006C171D" w:rsidRPr="00C50D96" w:rsidRDefault="006C171D" w:rsidP="00C50D96">
      <w:pPr>
        <w:spacing w:before="60" w:after="60"/>
      </w:pPr>
      <w:r w:rsidRPr="00C50D96">
        <w:t xml:space="preserve">Žadatel bere na vědomí, že je povinen uživatelské údaje (při registraci, v uživatelském účtu) uvádět správně a pravdivě a že je povinen bez zbytečného odkladu informovat PVS o jakékoliv změně v osobních údajích. </w:t>
      </w:r>
    </w:p>
    <w:p w14:paraId="7FBA6C0E" w14:textId="77777777" w:rsidR="006C171D" w:rsidRPr="005526B0" w:rsidRDefault="006C171D" w:rsidP="000068C4">
      <w:pPr>
        <w:pStyle w:val="Nadpis1"/>
      </w:pPr>
      <w:r w:rsidRPr="005526B0">
        <w:t xml:space="preserve">Práva a povinnosti </w:t>
      </w:r>
    </w:p>
    <w:p w14:paraId="56F34C95" w14:textId="71EC7695" w:rsidR="004D1971" w:rsidRPr="002D44D0" w:rsidRDefault="006C171D" w:rsidP="004D1971">
      <w:pPr>
        <w:spacing w:before="60" w:after="60"/>
      </w:pPr>
      <w:r w:rsidRPr="005526B0">
        <w:t xml:space="preserve">Žadatel se podpisem </w:t>
      </w:r>
      <w:r w:rsidR="004D1971" w:rsidRPr="005526B0">
        <w:rPr>
          <w:rStyle w:val="Zdraznnjemn"/>
          <w:i w:val="0"/>
          <w:iCs w:val="0"/>
        </w:rPr>
        <w:t>P</w:t>
      </w:r>
      <w:r w:rsidRPr="005526B0">
        <w:rPr>
          <w:rStyle w:val="Zdraznnjemn"/>
          <w:i w:val="0"/>
          <w:iCs w:val="0"/>
        </w:rPr>
        <w:t xml:space="preserve">řihlašovacího formuláře </w:t>
      </w:r>
      <w:r w:rsidR="004D1971" w:rsidRPr="005526B0">
        <w:rPr>
          <w:rStyle w:val="Zdraznnjemn"/>
          <w:i w:val="0"/>
          <w:iCs w:val="0"/>
        </w:rPr>
        <w:t>zavazuje</w:t>
      </w:r>
      <w:r w:rsidR="004D1971" w:rsidRPr="002D44D0">
        <w:t>:</w:t>
      </w:r>
    </w:p>
    <w:p w14:paraId="2DD04973" w14:textId="106A12AF" w:rsidR="006C171D" w:rsidRPr="00C50D96" w:rsidRDefault="004D1971" w:rsidP="004D1971">
      <w:pPr>
        <w:pStyle w:val="Odstavecseseznamem"/>
        <w:numPr>
          <w:ilvl w:val="0"/>
          <w:numId w:val="2"/>
        </w:numPr>
        <w:spacing w:before="60" w:after="60"/>
        <w:ind w:left="714" w:hanging="357"/>
        <w:contextualSpacing w:val="0"/>
      </w:pPr>
      <w:r>
        <w:t xml:space="preserve">že </w:t>
      </w:r>
      <w:r w:rsidR="006C171D" w:rsidRPr="00C50D96">
        <w:t>přihlašovací údaje jednotlivých uživatelů k aplikaci nebudou nikomu sděleny, prozrazeny a že přijme taková opatření, která znemožní jejich přístupnost třetím osobám</w:t>
      </w:r>
      <w:r w:rsidR="002D44D0">
        <w:t>;</w:t>
      </w:r>
    </w:p>
    <w:p w14:paraId="2A9E9E11" w14:textId="1DE31A6D" w:rsidR="006C171D" w:rsidRDefault="006C171D" w:rsidP="004D1971">
      <w:pPr>
        <w:pStyle w:val="Odstavecseseznamem"/>
        <w:numPr>
          <w:ilvl w:val="0"/>
          <w:numId w:val="2"/>
        </w:numPr>
        <w:spacing w:before="60" w:after="60"/>
        <w:ind w:left="714" w:hanging="357"/>
        <w:contextualSpacing w:val="0"/>
      </w:pPr>
      <w:r w:rsidRPr="00C50D96">
        <w:t>využít důvěrných informací poskytnutých v rámci aplikace výhradně pouze pro účely plnění pracovních úkolů žadatele a nebude je poskytovat v žádném případě třetím osobám</w:t>
      </w:r>
      <w:r w:rsidR="002D44D0">
        <w:t>;</w:t>
      </w:r>
    </w:p>
    <w:p w14:paraId="77049B8E" w14:textId="4FCBC786" w:rsidR="004D1971" w:rsidRDefault="004D1971" w:rsidP="004D1971">
      <w:pPr>
        <w:pStyle w:val="Odstavecseseznamem"/>
        <w:numPr>
          <w:ilvl w:val="0"/>
          <w:numId w:val="2"/>
        </w:numPr>
        <w:spacing w:before="60" w:after="60"/>
        <w:ind w:left="714" w:hanging="357"/>
        <w:contextualSpacing w:val="0"/>
      </w:pPr>
      <w:r w:rsidRPr="004D1971">
        <w:t>k proškolení uživatelů dle uvedeného soupisu v souladu s těmito Podmínkami a přihlašovacím formulářem na mapový portál PVS a zajištění jejich dodržování</w:t>
      </w:r>
      <w:r w:rsidR="002D44D0">
        <w:t>;</w:t>
      </w:r>
    </w:p>
    <w:p w14:paraId="270B9FE7" w14:textId="097E6B1D" w:rsidR="006C171D" w:rsidRPr="00C50D96" w:rsidRDefault="006C171D" w:rsidP="004D1971">
      <w:pPr>
        <w:pStyle w:val="Odstavecseseznamem"/>
        <w:numPr>
          <w:ilvl w:val="0"/>
          <w:numId w:val="2"/>
        </w:numPr>
        <w:spacing w:before="60" w:after="60"/>
        <w:ind w:left="714" w:hanging="357"/>
        <w:contextualSpacing w:val="0"/>
      </w:pPr>
      <w:r w:rsidRPr="00C50D96">
        <w:lastRenderedPageBreak/>
        <w:t xml:space="preserve">že v rozsahu svých pravomocí učiní nezbytná pracovněprávní, organizační, technická a smluvní opatření k zajištění ochrany dat a informací, které jsou si navzájem poskytovány, a to i proti zneužití třetími osobami. Závazky </w:t>
      </w:r>
      <w:r w:rsidR="004D1971">
        <w:br/>
      </w:r>
      <w:r w:rsidRPr="00C50D96">
        <w:t>a povinnosti z poskytnutí aplikace se řídí obecně závaznými právními předpisy, platnými na území ČR.</w:t>
      </w:r>
    </w:p>
    <w:p w14:paraId="04021A04" w14:textId="2CB5FE8A" w:rsidR="006C171D" w:rsidRPr="00C50D96" w:rsidRDefault="006C171D" w:rsidP="006C171D">
      <w:r w:rsidRPr="00C50D96">
        <w:t xml:space="preserve">PVS datovou základnu aplikace aktualizuje, a to vždy po řádném odsouhlasení Střednědobého investičního plánu v daném roce, a to v časovém rozmezí nezbytném pro pracovní vyhotovení aplikace. </w:t>
      </w:r>
      <w:r w:rsidR="004F4675" w:rsidRPr="00C50D96">
        <w:t>Zobrazení,</w:t>
      </w:r>
      <w:r w:rsidRPr="00C50D96">
        <w:t xml:space="preserve"> rozsah</w:t>
      </w:r>
      <w:r w:rsidR="004F4675" w:rsidRPr="00C50D96">
        <w:t xml:space="preserve"> a obsah</w:t>
      </w:r>
      <w:r w:rsidRPr="00C50D96">
        <w:t xml:space="preserve"> dat aplikace může být v průběhu roku měněn. </w:t>
      </w:r>
      <w:r w:rsidRPr="004D1971">
        <w:rPr>
          <w:b/>
          <w:bCs/>
          <w:u w:val="single"/>
        </w:rPr>
        <w:t>Veškerý datový obsah aplikace dle fáze procesu má informativní význam</w:t>
      </w:r>
      <w:r w:rsidRPr="00C50D96">
        <w:t xml:space="preserve">. PVS nenese žádnou zodpovědnost za vhodnost užití dat a výstupů pro specifické účely. PVS v žádném případě </w:t>
      </w:r>
      <w:proofErr w:type="gramStart"/>
      <w:r w:rsidRPr="00C50D96">
        <w:t>neručí</w:t>
      </w:r>
      <w:proofErr w:type="gramEnd"/>
      <w:r w:rsidRPr="00C50D96">
        <w:t xml:space="preserve"> za škody vzniklé v souvislosti s užíváním aplikace a informac</w:t>
      </w:r>
      <w:r w:rsidR="002D44D0">
        <w:t>emi</w:t>
      </w:r>
      <w:r w:rsidRPr="00C50D96">
        <w:t xml:space="preserve"> v ní obsažených.  </w:t>
      </w:r>
    </w:p>
    <w:p w14:paraId="5FACCEAA" w14:textId="77777777" w:rsidR="006C171D" w:rsidRPr="00C50D96" w:rsidRDefault="006C171D" w:rsidP="004D1971">
      <w:pPr>
        <w:spacing w:after="60"/>
      </w:pPr>
      <w:r w:rsidRPr="00C50D96">
        <w:t>PVS má právo okamžitě deaktivovat přihlašovací údaje k službě jednotlivých uživatelů, a to v případě, že:</w:t>
      </w:r>
    </w:p>
    <w:p w14:paraId="038126FA" w14:textId="77777777" w:rsidR="006C171D" w:rsidRPr="00C50D96" w:rsidRDefault="006C171D" w:rsidP="004D1971">
      <w:pPr>
        <w:pStyle w:val="Odstavecseseznamem"/>
        <w:spacing w:before="60" w:after="60"/>
        <w:ind w:left="714" w:hanging="357"/>
        <w:contextualSpacing w:val="0"/>
      </w:pPr>
      <w:r w:rsidRPr="00C50D96">
        <w:t>uživatelský účet není využit déle než rok od posledního přihlášení do aplikace,</w:t>
      </w:r>
    </w:p>
    <w:p w14:paraId="0CC108C9" w14:textId="77777777" w:rsidR="006C171D" w:rsidRPr="00C50D96" w:rsidRDefault="006C171D" w:rsidP="004D1971">
      <w:pPr>
        <w:pStyle w:val="Odstavecseseznamem"/>
        <w:spacing w:before="60" w:after="60"/>
        <w:ind w:left="714" w:hanging="357"/>
        <w:contextualSpacing w:val="0"/>
      </w:pPr>
      <w:r w:rsidRPr="00C50D96">
        <w:t>PVS pojme podezření o předání přihlašovacích údajů třetí osobě a možném zneužití dat aplikace třetí stranou,</w:t>
      </w:r>
    </w:p>
    <w:p w14:paraId="647AB0D4" w14:textId="77777777" w:rsidR="006C171D" w:rsidRPr="00C50D96" w:rsidRDefault="006C171D" w:rsidP="004D1971">
      <w:pPr>
        <w:pStyle w:val="Odstavecseseznamem"/>
        <w:spacing w:before="60" w:after="60"/>
        <w:ind w:left="714" w:hanging="357"/>
        <w:contextualSpacing w:val="0"/>
      </w:pPr>
      <w:r w:rsidRPr="00C50D96">
        <w:t>uživatelé aplikace data z Portálu PVS kopírovali a dále distribuovali na jakémkoliv médiu a v jakémkoli formátu,</w:t>
      </w:r>
    </w:p>
    <w:p w14:paraId="51DE9C7E" w14:textId="77777777" w:rsidR="006C171D" w:rsidRPr="00C50D96" w:rsidRDefault="006C171D" w:rsidP="004D1971">
      <w:pPr>
        <w:pStyle w:val="Odstavecseseznamem"/>
        <w:spacing w:before="60" w:after="60"/>
        <w:ind w:left="714" w:hanging="357"/>
        <w:contextualSpacing w:val="0"/>
      </w:pPr>
      <w:r w:rsidRPr="00C50D96">
        <w:t xml:space="preserve">žadatel aplikace začlenil data z Portálu PVS do vlastního díla bez předchozího písemného souhlasu PVS, a to pro jakýkoliv účel. </w:t>
      </w:r>
    </w:p>
    <w:p w14:paraId="642661B1" w14:textId="6EA69A14" w:rsidR="006C171D" w:rsidRPr="00C50D96" w:rsidRDefault="004D1971" w:rsidP="002D44D0">
      <w:pPr>
        <w:spacing w:before="120"/>
      </w:pPr>
      <w:r>
        <w:t>T</w:t>
      </w:r>
      <w:r w:rsidR="002D44D0">
        <w:t xml:space="preserve">yto podmínky a </w:t>
      </w:r>
      <w:r w:rsidRPr="002D44D0">
        <w:rPr>
          <w:rStyle w:val="Zdraznnjemn"/>
          <w:i w:val="0"/>
          <w:iCs w:val="0"/>
        </w:rPr>
        <w:t>P</w:t>
      </w:r>
      <w:r w:rsidR="006C171D" w:rsidRPr="002D44D0">
        <w:rPr>
          <w:rStyle w:val="Zdraznnjemn"/>
          <w:i w:val="0"/>
          <w:iCs w:val="0"/>
        </w:rPr>
        <w:t xml:space="preserve">řihlašovací formulář </w:t>
      </w:r>
      <w:r w:rsidR="006C171D" w:rsidRPr="00C50D96">
        <w:t xml:space="preserve">nabývají účinnosti podpisem ze strany žadatele a zasláním přihlašovacích údajů jednotlivých uživatelů uvedených ve formuláři </w:t>
      </w:r>
      <w:r w:rsidR="006C171D" w:rsidRPr="004D1971">
        <w:rPr>
          <w:b/>
          <w:bCs/>
        </w:rPr>
        <w:t>do datové schránky PVS</w:t>
      </w:r>
      <w:r>
        <w:rPr>
          <w:b/>
          <w:bCs/>
        </w:rPr>
        <w:t xml:space="preserve"> </w:t>
      </w:r>
      <w:r w:rsidRPr="002D44D0">
        <w:t>(a75fsn2)</w:t>
      </w:r>
      <w:r w:rsidR="006C171D" w:rsidRPr="00C50D96">
        <w:t>.</w:t>
      </w:r>
    </w:p>
    <w:p w14:paraId="2F7EADED" w14:textId="77777777" w:rsidR="006C171D" w:rsidRPr="00C50D96" w:rsidRDefault="006C171D" w:rsidP="006C171D">
      <w:r w:rsidRPr="00C50D96">
        <w:t xml:space="preserve">Žadatel prohlašuje, že si tyto podmínky řádně přečetl a s jejich obsahem souhlasí. </w:t>
      </w:r>
    </w:p>
    <w:p w14:paraId="450F03EA" w14:textId="77777777" w:rsidR="006C171D" w:rsidRPr="00C50D96" w:rsidRDefault="006C171D" w:rsidP="006C171D"/>
    <w:p w14:paraId="3B2887BE" w14:textId="0C4A7386" w:rsidR="006C171D" w:rsidRPr="00C50D96" w:rsidRDefault="006C171D" w:rsidP="006C171D">
      <w:r w:rsidRPr="00C50D96">
        <w:t xml:space="preserve">V Praze dne </w:t>
      </w:r>
      <w:r w:rsidR="002D44D0">
        <w:t>………</w:t>
      </w:r>
    </w:p>
    <w:p w14:paraId="7C6BB4CE" w14:textId="4B044E94" w:rsidR="006C171D" w:rsidRPr="00C50D96" w:rsidRDefault="006C171D" w:rsidP="006C171D"/>
    <w:p w14:paraId="7F475476" w14:textId="77777777" w:rsidR="006C171D" w:rsidRPr="00C50D96" w:rsidRDefault="006C171D" w:rsidP="006C171D"/>
    <w:p w14:paraId="55887C22" w14:textId="77777777" w:rsidR="006C171D" w:rsidRPr="00C50D96" w:rsidRDefault="006C171D" w:rsidP="004D1971">
      <w:pPr>
        <w:spacing w:after="0"/>
      </w:pPr>
      <w:r w:rsidRPr="00C50D96">
        <w:t>………………………………………</w:t>
      </w:r>
    </w:p>
    <w:p w14:paraId="700F0AC7" w14:textId="693109DE" w:rsidR="006C171D" w:rsidRPr="00C50D96" w:rsidRDefault="004D1971" w:rsidP="004D1971">
      <w:pPr>
        <w:spacing w:after="0"/>
      </w:pPr>
      <w:r>
        <w:t>p</w:t>
      </w:r>
      <w:r w:rsidR="006C171D" w:rsidRPr="00C50D96">
        <w:t>odpis</w:t>
      </w:r>
      <w:r>
        <w:t xml:space="preserve"> a razítko</w:t>
      </w:r>
      <w:r w:rsidR="006C171D" w:rsidRPr="00C50D96">
        <w:t xml:space="preserve"> žadatele</w:t>
      </w:r>
    </w:p>
    <w:p w14:paraId="3A0CF608" w14:textId="77777777" w:rsidR="00364691" w:rsidRPr="00C50D96" w:rsidRDefault="00364691" w:rsidP="006C171D"/>
    <w:sectPr w:rsidR="00364691" w:rsidRPr="00C50D96" w:rsidSect="002D44D0">
      <w:headerReference w:type="default" r:id="rId8"/>
      <w:footerReference w:type="default" r:id="rId9"/>
      <w:pgSz w:w="11906" w:h="16838"/>
      <w:pgMar w:top="1560" w:right="1417" w:bottom="993" w:left="1417" w:header="708"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6065" w14:textId="77777777" w:rsidR="009F1944" w:rsidRDefault="009F1944" w:rsidP="00F56235">
      <w:pPr>
        <w:spacing w:after="0"/>
      </w:pPr>
      <w:r>
        <w:separator/>
      </w:r>
    </w:p>
  </w:endnote>
  <w:endnote w:type="continuationSeparator" w:id="0">
    <w:p w14:paraId="0E875404" w14:textId="77777777" w:rsidR="009F1944" w:rsidRDefault="009F1944" w:rsidP="00F56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ahnschrift SemiBold SemiConden">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152655"/>
      <w:docPartObj>
        <w:docPartGallery w:val="Page Numbers (Bottom of Page)"/>
        <w:docPartUnique/>
      </w:docPartObj>
    </w:sdtPr>
    <w:sdtEndPr>
      <w:rPr>
        <w:sz w:val="18"/>
        <w:szCs w:val="18"/>
      </w:rPr>
    </w:sdtEndPr>
    <w:sdtContent>
      <w:p w14:paraId="4AFFA8F1" w14:textId="23C3332B" w:rsidR="004D1971" w:rsidRPr="004D1971" w:rsidRDefault="004D1971">
        <w:pPr>
          <w:pStyle w:val="Zpat"/>
          <w:jc w:val="right"/>
          <w:rPr>
            <w:sz w:val="18"/>
            <w:szCs w:val="18"/>
          </w:rPr>
        </w:pPr>
        <w:r w:rsidRPr="004D1971">
          <w:rPr>
            <w:sz w:val="18"/>
            <w:szCs w:val="18"/>
          </w:rPr>
          <w:t xml:space="preserve">Strana </w:t>
        </w:r>
        <w:r w:rsidRPr="004D1971">
          <w:rPr>
            <w:sz w:val="18"/>
            <w:szCs w:val="18"/>
          </w:rPr>
          <w:fldChar w:fldCharType="begin"/>
        </w:r>
        <w:r w:rsidRPr="004D1971">
          <w:rPr>
            <w:sz w:val="18"/>
            <w:szCs w:val="18"/>
          </w:rPr>
          <w:instrText>PAGE   \* MERGEFORMAT</w:instrText>
        </w:r>
        <w:r w:rsidRPr="004D1971">
          <w:rPr>
            <w:sz w:val="18"/>
            <w:szCs w:val="18"/>
          </w:rPr>
          <w:fldChar w:fldCharType="separate"/>
        </w:r>
        <w:r w:rsidRPr="004D1971">
          <w:rPr>
            <w:sz w:val="18"/>
            <w:szCs w:val="18"/>
          </w:rPr>
          <w:t>2</w:t>
        </w:r>
        <w:r w:rsidRPr="004D1971">
          <w:rPr>
            <w:sz w:val="18"/>
            <w:szCs w:val="18"/>
          </w:rPr>
          <w:fldChar w:fldCharType="end"/>
        </w:r>
        <w:r w:rsidRPr="004D1971">
          <w:rPr>
            <w:sz w:val="18"/>
            <w:szCs w:val="18"/>
          </w:rPr>
          <w:t>/2</w:t>
        </w:r>
      </w:p>
    </w:sdtContent>
  </w:sdt>
  <w:p w14:paraId="097D4DAA" w14:textId="77777777" w:rsidR="004D1971" w:rsidRDefault="004D19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1035" w14:textId="77777777" w:rsidR="009F1944" w:rsidRDefault="009F1944" w:rsidP="00F56235">
      <w:pPr>
        <w:spacing w:after="0"/>
      </w:pPr>
      <w:r>
        <w:separator/>
      </w:r>
    </w:p>
  </w:footnote>
  <w:footnote w:type="continuationSeparator" w:id="0">
    <w:p w14:paraId="10F83F41" w14:textId="77777777" w:rsidR="009F1944" w:rsidRDefault="009F1944" w:rsidP="00F562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7942" w14:textId="18BB66FC" w:rsidR="00F56235" w:rsidRDefault="00F56235" w:rsidP="00F56235">
    <w:pPr>
      <w:pStyle w:val="Zhlav"/>
      <w:jc w:val="right"/>
    </w:pPr>
    <w:r>
      <w:rPr>
        <w:noProof/>
      </w:rPr>
      <w:drawing>
        <wp:inline distT="0" distB="0" distL="0" distR="0" wp14:anchorId="686A8475" wp14:editId="596879D2">
          <wp:extent cx="1354850" cy="330200"/>
          <wp:effectExtent l="0" t="0" r="0" b="0"/>
          <wp:docPr id="14" name="Obrázek 1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358023" cy="330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67314"/>
    <w:multiLevelType w:val="hybridMultilevel"/>
    <w:tmpl w:val="F4248D66"/>
    <w:lvl w:ilvl="0" w:tplc="EAA0BD48">
      <w:start w:val="1"/>
      <w:numFmt w:val="bullet"/>
      <w:pStyle w:val="Odstavecseseznamem"/>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CC4183D"/>
    <w:multiLevelType w:val="hybridMultilevel"/>
    <w:tmpl w:val="E5CE9788"/>
    <w:lvl w:ilvl="0" w:tplc="E7AC38A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5B53FE"/>
    <w:multiLevelType w:val="hybridMultilevel"/>
    <w:tmpl w:val="64BCD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250952">
    <w:abstractNumId w:val="0"/>
  </w:num>
  <w:num w:numId="2" w16cid:durableId="666783724">
    <w:abstractNumId w:val="2"/>
  </w:num>
  <w:num w:numId="3" w16cid:durableId="1090545379">
    <w:abstractNumId w:val="1"/>
  </w:num>
  <w:num w:numId="4" w16cid:durableId="2022469272">
    <w:abstractNumId w:val="0"/>
  </w:num>
  <w:num w:numId="5" w16cid:durableId="859003796">
    <w:abstractNumId w:val="0"/>
  </w:num>
  <w:num w:numId="6" w16cid:durableId="2099017761">
    <w:abstractNumId w:val="0"/>
  </w:num>
  <w:num w:numId="7" w16cid:durableId="1802961845">
    <w:abstractNumId w:val="0"/>
  </w:num>
  <w:num w:numId="8" w16cid:durableId="555749486">
    <w:abstractNumId w:val="0"/>
  </w:num>
  <w:num w:numId="9" w16cid:durableId="134775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1D"/>
    <w:rsid w:val="000068C4"/>
    <w:rsid w:val="0012252F"/>
    <w:rsid w:val="00191D2A"/>
    <w:rsid w:val="00207530"/>
    <w:rsid w:val="002D44D0"/>
    <w:rsid w:val="00364691"/>
    <w:rsid w:val="004506EF"/>
    <w:rsid w:val="004D1971"/>
    <w:rsid w:val="004F4675"/>
    <w:rsid w:val="005526B0"/>
    <w:rsid w:val="006144A6"/>
    <w:rsid w:val="0067694D"/>
    <w:rsid w:val="006C171D"/>
    <w:rsid w:val="006F032B"/>
    <w:rsid w:val="007B22D4"/>
    <w:rsid w:val="009268F8"/>
    <w:rsid w:val="009F1944"/>
    <w:rsid w:val="00A07EE2"/>
    <w:rsid w:val="00B13A8D"/>
    <w:rsid w:val="00C115D5"/>
    <w:rsid w:val="00C50D96"/>
    <w:rsid w:val="00D90DFE"/>
    <w:rsid w:val="00F40571"/>
    <w:rsid w:val="00F56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2FF7A"/>
  <w15:chartTrackingRefBased/>
  <w15:docId w15:val="{E4BA8559-3B72-4C50-B69E-03C48AA1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52F"/>
    <w:pPr>
      <w:spacing w:line="240" w:lineRule="auto"/>
      <w:jc w:val="both"/>
    </w:pPr>
    <w:rPr>
      <w:rFonts w:ascii="Arial Narrow" w:hAnsi="Arial Narrow" w:cs="Arial"/>
      <w:sz w:val="20"/>
      <w:szCs w:val="20"/>
    </w:rPr>
  </w:style>
  <w:style w:type="paragraph" w:styleId="Nadpis1">
    <w:name w:val="heading 1"/>
    <w:basedOn w:val="Odstavecseseznamem"/>
    <w:next w:val="Normln"/>
    <w:link w:val="Nadpis1Char"/>
    <w:uiPriority w:val="9"/>
    <w:qFormat/>
    <w:rsid w:val="000068C4"/>
    <w:pPr>
      <w:numPr>
        <w:numId w:val="3"/>
      </w:numPr>
      <w:spacing w:before="120" w:after="60"/>
      <w:ind w:left="284" w:hanging="142"/>
      <w:contextualSpacing w:val="0"/>
      <w:outlineLvl w:val="0"/>
    </w:pPr>
    <w:rPr>
      <w:b/>
      <w:bCs/>
      <w:color w:val="2F5496"/>
      <w:sz w:val="22"/>
      <w:szCs w:val="22"/>
    </w:rPr>
  </w:style>
  <w:style w:type="paragraph" w:styleId="Nadpis2">
    <w:name w:val="heading 2"/>
    <w:basedOn w:val="Normln"/>
    <w:next w:val="Normln"/>
    <w:link w:val="Nadpis2Char"/>
    <w:uiPriority w:val="9"/>
    <w:unhideWhenUsed/>
    <w:qFormat/>
    <w:rsid w:val="000068C4"/>
    <w:pPr>
      <w:spacing w:after="0"/>
      <w:outlineLvl w:val="1"/>
    </w:pPr>
    <w:rPr>
      <w:i/>
      <w:iCs/>
      <w:color w:val="2F54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68C4"/>
    <w:rPr>
      <w:rFonts w:ascii="Arial Narrow" w:hAnsi="Arial Narrow" w:cs="Arial"/>
      <w:b/>
      <w:bCs/>
      <w:color w:val="2F5496"/>
    </w:rPr>
  </w:style>
  <w:style w:type="character" w:customStyle="1" w:styleId="Nadpis2Char">
    <w:name w:val="Nadpis 2 Char"/>
    <w:basedOn w:val="Standardnpsmoodstavce"/>
    <w:link w:val="Nadpis2"/>
    <w:uiPriority w:val="9"/>
    <w:rsid w:val="000068C4"/>
    <w:rPr>
      <w:rFonts w:ascii="Arial Narrow" w:hAnsi="Arial Narrow" w:cs="Arial"/>
      <w:i/>
      <w:iCs/>
      <w:color w:val="2F5496"/>
      <w:sz w:val="20"/>
      <w:szCs w:val="20"/>
    </w:rPr>
  </w:style>
  <w:style w:type="paragraph" w:styleId="Nzev">
    <w:name w:val="Title"/>
    <w:basedOn w:val="Normln"/>
    <w:next w:val="Normln"/>
    <w:link w:val="NzevChar"/>
    <w:uiPriority w:val="10"/>
    <w:qFormat/>
    <w:rsid w:val="006C171D"/>
    <w:pPr>
      <w:spacing w:after="240"/>
      <w:contextualSpacing/>
    </w:pPr>
    <w:rPr>
      <w:rFonts w:ascii="Bahnschrift SemiBold SemiConden" w:eastAsiaTheme="majorEastAsia" w:hAnsi="Bahnschrift SemiBold SemiConden" w:cstheme="majorBidi"/>
      <w:b/>
      <w:bCs/>
      <w:color w:val="2F5496" w:themeColor="accent1" w:themeShade="BF"/>
      <w:spacing w:val="-10"/>
      <w:kern w:val="28"/>
      <w:sz w:val="38"/>
      <w:szCs w:val="38"/>
    </w:rPr>
  </w:style>
  <w:style w:type="character" w:customStyle="1" w:styleId="NzevChar">
    <w:name w:val="Název Char"/>
    <w:basedOn w:val="Standardnpsmoodstavce"/>
    <w:link w:val="Nzev"/>
    <w:uiPriority w:val="10"/>
    <w:rsid w:val="006C171D"/>
    <w:rPr>
      <w:rFonts w:ascii="Bahnschrift SemiBold SemiConden" w:eastAsiaTheme="majorEastAsia" w:hAnsi="Bahnschrift SemiBold SemiConden" w:cstheme="majorBidi"/>
      <w:b/>
      <w:bCs/>
      <w:color w:val="2F5496" w:themeColor="accent1" w:themeShade="BF"/>
      <w:spacing w:val="-10"/>
      <w:kern w:val="28"/>
      <w:sz w:val="38"/>
      <w:szCs w:val="38"/>
    </w:rPr>
  </w:style>
  <w:style w:type="paragraph" w:styleId="Odstavecseseznamem">
    <w:name w:val="List Paragraph"/>
    <w:basedOn w:val="Normln"/>
    <w:uiPriority w:val="34"/>
    <w:qFormat/>
    <w:rsid w:val="006C171D"/>
    <w:pPr>
      <w:numPr>
        <w:numId w:val="1"/>
      </w:numPr>
      <w:contextualSpacing/>
    </w:pPr>
  </w:style>
  <w:style w:type="character" w:styleId="Zdraznn">
    <w:name w:val="Emphasis"/>
    <w:basedOn w:val="Standardnpsmoodstavce"/>
    <w:uiPriority w:val="20"/>
    <w:rsid w:val="006C171D"/>
    <w:rPr>
      <w:i/>
      <w:iCs/>
    </w:rPr>
  </w:style>
  <w:style w:type="paragraph" w:styleId="Bezmezer">
    <w:name w:val="No Spacing"/>
    <w:uiPriority w:val="1"/>
    <w:qFormat/>
    <w:rsid w:val="006C171D"/>
    <w:pPr>
      <w:spacing w:after="0" w:line="240" w:lineRule="auto"/>
    </w:pPr>
    <w:rPr>
      <w:rFonts w:ascii="Arial Narrow" w:hAnsi="Arial Narrow"/>
      <w:sz w:val="20"/>
      <w:szCs w:val="20"/>
      <w:lang w:eastAsia="cs-CZ"/>
    </w:rPr>
  </w:style>
  <w:style w:type="character" w:styleId="Zdraznnjemn">
    <w:name w:val="Subtle Emphasis"/>
    <w:basedOn w:val="Standardnpsmoodstavce"/>
    <w:uiPriority w:val="19"/>
    <w:qFormat/>
    <w:rsid w:val="006C171D"/>
    <w:rPr>
      <w:i/>
      <w:iCs/>
    </w:rPr>
  </w:style>
  <w:style w:type="character" w:styleId="Zdraznnintenzivn">
    <w:name w:val="Intense Emphasis"/>
    <w:basedOn w:val="Standardnpsmoodstavce"/>
    <w:uiPriority w:val="21"/>
    <w:qFormat/>
    <w:rsid w:val="00C115D5"/>
    <w:rPr>
      <w:b/>
      <w:bCs/>
      <w:color w:val="FFFFFF" w:themeColor="background1"/>
    </w:rPr>
  </w:style>
  <w:style w:type="character" w:styleId="Siln">
    <w:name w:val="Strong"/>
    <w:basedOn w:val="Standardnpsmoodstavce"/>
    <w:uiPriority w:val="22"/>
    <w:qFormat/>
    <w:rsid w:val="00C115D5"/>
    <w:rPr>
      <w:b/>
      <w:bCs/>
    </w:rPr>
  </w:style>
  <w:style w:type="paragraph" w:styleId="Zhlav">
    <w:name w:val="header"/>
    <w:basedOn w:val="Normln"/>
    <w:link w:val="ZhlavChar"/>
    <w:uiPriority w:val="99"/>
    <w:unhideWhenUsed/>
    <w:rsid w:val="00F56235"/>
    <w:pPr>
      <w:tabs>
        <w:tab w:val="center" w:pos="4536"/>
        <w:tab w:val="right" w:pos="9072"/>
      </w:tabs>
      <w:spacing w:after="0"/>
    </w:pPr>
  </w:style>
  <w:style w:type="character" w:customStyle="1" w:styleId="ZhlavChar">
    <w:name w:val="Záhlaví Char"/>
    <w:basedOn w:val="Standardnpsmoodstavce"/>
    <w:link w:val="Zhlav"/>
    <w:uiPriority w:val="99"/>
    <w:rsid w:val="00F56235"/>
    <w:rPr>
      <w:rFonts w:ascii="Arial Narrow" w:hAnsi="Arial Narrow" w:cs="Arial"/>
      <w:sz w:val="20"/>
      <w:szCs w:val="20"/>
    </w:rPr>
  </w:style>
  <w:style w:type="paragraph" w:styleId="Zpat">
    <w:name w:val="footer"/>
    <w:basedOn w:val="Normln"/>
    <w:link w:val="ZpatChar"/>
    <w:uiPriority w:val="99"/>
    <w:unhideWhenUsed/>
    <w:rsid w:val="00F56235"/>
    <w:pPr>
      <w:tabs>
        <w:tab w:val="center" w:pos="4536"/>
        <w:tab w:val="right" w:pos="9072"/>
      </w:tabs>
      <w:spacing w:after="0"/>
    </w:pPr>
  </w:style>
  <w:style w:type="character" w:customStyle="1" w:styleId="ZpatChar">
    <w:name w:val="Zápatí Char"/>
    <w:basedOn w:val="Standardnpsmoodstavce"/>
    <w:link w:val="Zpat"/>
    <w:uiPriority w:val="99"/>
    <w:rsid w:val="00F56235"/>
    <w:rPr>
      <w:rFonts w:ascii="Arial Narrow" w:hAnsi="Arial Narrow" w:cs="Arial"/>
      <w:sz w:val="20"/>
      <w:szCs w:val="20"/>
    </w:rPr>
  </w:style>
  <w:style w:type="table" w:styleId="Mkatabulky">
    <w:name w:val="Table Grid"/>
    <w:basedOn w:val="Normlntabulka"/>
    <w:uiPriority w:val="39"/>
    <w:rsid w:val="00F5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50D96"/>
    <w:rPr>
      <w:color w:val="0563C1" w:themeColor="hyperlink"/>
      <w:u w:val="single"/>
    </w:rPr>
  </w:style>
  <w:style w:type="character" w:styleId="Nevyeenzmnka">
    <w:name w:val="Unresolved Mention"/>
    <w:basedOn w:val="Standardnpsmoodstavce"/>
    <w:uiPriority w:val="99"/>
    <w:semiHidden/>
    <w:unhideWhenUsed/>
    <w:rsid w:val="00C5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nuelovam@pv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4239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PVS</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Fišáková Růžena</dc:creator>
  <cp:keywords/>
  <dc:description/>
  <cp:lastModifiedBy>Fišáková Růžena</cp:lastModifiedBy>
  <cp:revision>2</cp:revision>
  <dcterms:created xsi:type="dcterms:W3CDTF">2022-11-09T13:44:00Z</dcterms:created>
  <dcterms:modified xsi:type="dcterms:W3CDTF">2022-11-09T13:44:00Z</dcterms:modified>
</cp:coreProperties>
</file>